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F75825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УТВЕРЖДЕНЫ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F75825">
        <w:rPr>
          <w:rFonts w:cs="Times New Roman"/>
          <w:szCs w:val="28"/>
        </w:rPr>
        <w:t>ем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CE437C" w:rsidRPr="00CE437C" w:rsidRDefault="00CE437C" w:rsidP="00CE437C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CE437C">
        <w:rPr>
          <w:rFonts w:cs="Times New Roman"/>
          <w:b/>
          <w:color w:val="000000" w:themeColor="text1"/>
          <w:szCs w:val="28"/>
        </w:rPr>
        <w:t>НОРМАТИВЫ</w:t>
      </w:r>
    </w:p>
    <w:p w:rsidR="00CE437C" w:rsidRPr="00CE437C" w:rsidRDefault="00CE437C" w:rsidP="00CE437C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CE437C">
        <w:rPr>
          <w:rFonts w:cs="Times New Roman"/>
          <w:b/>
          <w:color w:val="000000" w:themeColor="text1"/>
          <w:szCs w:val="28"/>
        </w:rPr>
        <w:t xml:space="preserve">потребления коммунальной услуги по отоплению </w:t>
      </w:r>
    </w:p>
    <w:p w:rsidR="00CE437C" w:rsidRPr="00CE437C" w:rsidRDefault="00CE437C" w:rsidP="00CE437C">
      <w:pPr>
        <w:ind w:firstLine="0"/>
        <w:rPr>
          <w:rFonts w:cs="Times New Roman"/>
          <w:b/>
          <w:color w:val="000000" w:themeColor="text1"/>
          <w:szCs w:val="28"/>
        </w:rPr>
      </w:pP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1. Нормативы потребления коммунальной услуги по отоплению </w:t>
      </w: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в многоквартирных и жилых домах </w:t>
      </w: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Cs w:val="28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1.1. На территории Брейтовского муниципального района: </w:t>
      </w:r>
    </w:p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562055" w:rsidRPr="00CE437C" w:rsidTr="00E12257">
        <w:trPr>
          <w:trHeight w:val="1206"/>
        </w:trPr>
        <w:tc>
          <w:tcPr>
            <w:tcW w:w="1386" w:type="pct"/>
          </w:tcPr>
          <w:p w:rsidR="00562055" w:rsidRPr="00CE437C" w:rsidRDefault="00562055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</w:tcPr>
          <w:p w:rsidR="00562055" w:rsidRPr="00CE437C" w:rsidRDefault="00562055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0,04950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0,04983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F75825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0,03132</w:t>
            </w:r>
          </w:p>
        </w:tc>
      </w:tr>
      <w:tr w:rsidR="00D76F24" w:rsidRPr="00CE437C" w:rsidTr="00562055">
        <w:tc>
          <w:tcPr>
            <w:tcW w:w="1386" w:type="pct"/>
          </w:tcPr>
          <w:p w:rsidR="00D76F24" w:rsidRPr="00CE437C" w:rsidRDefault="00D76F24" w:rsidP="00D76F24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D76F24" w:rsidRPr="00CE437C" w:rsidRDefault="00D76F24" w:rsidP="00D76F24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0,02623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8520F3" w:rsidRPr="00CE437C" w:rsidTr="00562055">
        <w:tc>
          <w:tcPr>
            <w:tcW w:w="1386" w:type="pct"/>
          </w:tcPr>
          <w:p w:rsidR="008520F3" w:rsidRPr="00CE437C" w:rsidRDefault="008520F3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8520F3" w:rsidRPr="00CE437C" w:rsidRDefault="008520F3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0,01912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0,01799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0,01744</w:t>
            </w:r>
          </w:p>
        </w:tc>
      </w:tr>
    </w:tbl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:rsidR="00CE437C" w:rsidRPr="00CE437C" w:rsidRDefault="00CE437C" w:rsidP="00CE437C">
      <w:pPr>
        <w:ind w:firstLine="0"/>
        <w:rPr>
          <w:color w:val="000000" w:themeColor="text1"/>
          <w:sz w:val="2"/>
          <w:szCs w:val="2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>1.2. На территории Даниловского, Любимского, Первомайского муниципальных районов:</w:t>
      </w:r>
    </w:p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2055" w:rsidRPr="00562055" w:rsidRDefault="00562055">
      <w:pPr>
        <w:rPr>
          <w:sz w:val="2"/>
          <w:szCs w:val="2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562055" w:rsidRPr="00CE437C" w:rsidTr="00562055">
        <w:trPr>
          <w:tblHeader/>
        </w:trPr>
        <w:tc>
          <w:tcPr>
            <w:tcW w:w="1386" w:type="pct"/>
          </w:tcPr>
          <w:p w:rsidR="00562055" w:rsidRPr="00CE437C" w:rsidRDefault="00562055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562055" w:rsidRPr="00CE437C" w:rsidRDefault="00562055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0,050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60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0,0509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7C2411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0,03202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0,02682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B975A6" w:rsidRPr="00CE437C" w:rsidTr="00562055">
        <w:tc>
          <w:tcPr>
            <w:tcW w:w="1386" w:type="pct"/>
          </w:tcPr>
          <w:p w:rsidR="00B975A6" w:rsidRPr="00CE437C" w:rsidRDefault="00B975A6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lastRenderedPageBreak/>
              <w:t>1</w:t>
            </w:r>
          </w:p>
        </w:tc>
        <w:tc>
          <w:tcPr>
            <w:tcW w:w="3614" w:type="pct"/>
          </w:tcPr>
          <w:p w:rsidR="00B975A6" w:rsidRPr="00CE437C" w:rsidRDefault="00B975A6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0,01955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0,01839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0,01783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  <w:r w:rsidR="007C2411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0,01503</w:t>
            </w:r>
          </w:p>
        </w:tc>
      </w:tr>
    </w:tbl>
    <w:p w:rsidR="00CE437C" w:rsidRPr="00CE437C" w:rsidRDefault="00CE437C" w:rsidP="00CE437C">
      <w:pPr>
        <w:ind w:firstLine="0"/>
        <w:rPr>
          <w:color w:val="000000" w:themeColor="text1"/>
          <w:sz w:val="2"/>
          <w:szCs w:val="2"/>
        </w:rPr>
      </w:pPr>
    </w:p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1.3. На территории городского округа г. Переславля-Залесского </w:t>
      </w:r>
      <w:r w:rsidR="00D05F69">
        <w:rPr>
          <w:rFonts w:cs="Times New Roman"/>
          <w:color w:val="000000" w:themeColor="text1"/>
          <w:szCs w:val="28"/>
        </w:rPr>
        <w:br/>
      </w:r>
      <w:r w:rsidRPr="00CE437C">
        <w:rPr>
          <w:rFonts w:cs="Times New Roman"/>
          <w:color w:val="000000" w:themeColor="text1"/>
          <w:szCs w:val="28"/>
        </w:rPr>
        <w:t xml:space="preserve">и Переславского муниципального района: </w:t>
      </w: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both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0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,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04858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0,048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91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7B4159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0,03074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0,02574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0,02535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0,02704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0,01877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0,01765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0,01711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  <w:r w:rsidR="007B4159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0,01442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6</w:t>
            </w:r>
            <w:r w:rsidR="007B4159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0,01307</w:t>
            </w:r>
          </w:p>
        </w:tc>
      </w:tr>
    </w:tbl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 w:val="20"/>
          <w:szCs w:val="20"/>
        </w:rPr>
      </w:pPr>
    </w:p>
    <w:p w:rsidR="00CE437C" w:rsidRPr="00CE437C" w:rsidRDefault="00CE437C" w:rsidP="00CE437C">
      <w:pPr>
        <w:ind w:firstLine="0"/>
        <w:rPr>
          <w:color w:val="000000" w:themeColor="text1"/>
          <w:sz w:val="2"/>
          <w:szCs w:val="2"/>
        </w:rPr>
      </w:pPr>
    </w:p>
    <w:p w:rsidR="00CE437C" w:rsidRPr="00CE437C" w:rsidRDefault="00CE437C" w:rsidP="00562055">
      <w:pPr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1.4. На территории Пошехонского муниципального района: </w:t>
      </w:r>
    </w:p>
    <w:p w:rsidR="00CE437C" w:rsidRPr="00CE437C" w:rsidRDefault="00CE437C" w:rsidP="00CE437C">
      <w:pPr>
        <w:ind w:firstLine="0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both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0,0507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7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0,051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11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3C11CF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0,0321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0,01961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0,01845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0,01789</w:t>
            </w:r>
          </w:p>
        </w:tc>
      </w:tr>
    </w:tbl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lastRenderedPageBreak/>
        <w:t xml:space="preserve">1.5. На территории Борисоглебского, Гаврилов-Ямского, Ростовского муниципальных районов: </w:t>
      </w: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both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0,048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50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0,0488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7A7190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0,03069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0,02570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0,01874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0,01762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0,01709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  <w:r w:rsidR="007A7190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0,01440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6</w:t>
            </w:r>
            <w:r w:rsidR="007A7190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0,01305</w:t>
            </w:r>
          </w:p>
        </w:tc>
      </w:tr>
    </w:tbl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1.6. На территории Рыбинского муниципального района: </w:t>
      </w:r>
    </w:p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0,0490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0,0493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0,03104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600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0,01895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0,01782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0,01728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0,01456</w:t>
            </w:r>
          </w:p>
        </w:tc>
      </w:tr>
    </w:tbl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  <w:lang w:val="en-US"/>
        </w:rPr>
      </w:pPr>
      <w:r w:rsidRPr="00CE437C">
        <w:rPr>
          <w:rFonts w:cs="Times New Roman"/>
          <w:color w:val="000000" w:themeColor="text1"/>
          <w:szCs w:val="28"/>
          <w:lang w:val="en-US"/>
        </w:rPr>
        <w:br w:type="page"/>
      </w:r>
    </w:p>
    <w:p w:rsidR="00CE437C" w:rsidRPr="00CE437C" w:rsidRDefault="00CE437C" w:rsidP="00562055">
      <w:pPr>
        <w:widowControl w:val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CE437C">
        <w:rPr>
          <w:rFonts w:cs="Times New Roman"/>
          <w:color w:val="000000" w:themeColor="text1"/>
          <w:szCs w:val="28"/>
          <w:lang w:eastAsia="ru-RU"/>
        </w:rPr>
        <w:lastRenderedPageBreak/>
        <w:t>1.7. На территории городского округа г. Рыбинска:</w:t>
      </w:r>
    </w:p>
    <w:p w:rsidR="00CE437C" w:rsidRPr="00CE437C" w:rsidRDefault="00CE437C" w:rsidP="00CE437C">
      <w:pPr>
        <w:widowControl w:val="0"/>
        <w:jc w:val="both"/>
        <w:rPr>
          <w:rFonts w:cs="Times New Roman"/>
          <w:color w:val="000000" w:themeColor="text1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96"/>
      </w:tblGrid>
      <w:tr w:rsidR="00CE437C" w:rsidRPr="00CE437C" w:rsidTr="00562055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322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Этажность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0,05351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0,04978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3</w:t>
            </w:r>
            <w:r w:rsidR="00BA27F4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0,03364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BA27F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5 </w:t>
            </w:r>
            <w:r w:rsidR="00BA27F4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–</w:t>
            </w: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 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0,02793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0,02779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0,02806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0,02858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16 и более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0,03150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Этажность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0,01680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4</w:t>
            </w:r>
            <w:r w:rsidR="00BA27F4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0,01553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0,01321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0,01380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0,01416</w:t>
            </w:r>
          </w:p>
        </w:tc>
      </w:tr>
      <w:tr w:rsidR="00CE437C" w:rsidRPr="00CE437C" w:rsidTr="005620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12 и более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C" w:rsidRPr="00CE437C" w:rsidRDefault="00CE437C" w:rsidP="00CE4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</w:pPr>
            <w:r w:rsidRPr="00CE437C">
              <w:rPr>
                <w:rFonts w:eastAsiaTheme="minorEastAsia" w:cs="Times New Roman"/>
                <w:color w:val="000000" w:themeColor="text1"/>
                <w:szCs w:val="28"/>
                <w:lang w:eastAsia="ru-RU"/>
              </w:rPr>
              <w:t>0,01437</w:t>
            </w:r>
          </w:p>
        </w:tc>
      </w:tr>
    </w:tbl>
    <w:p w:rsidR="00F464D5" w:rsidRDefault="00F464D5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>1.8. На территории Большесельского и Тутаевского муниципальных районов:</w:t>
      </w:r>
    </w:p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0,0499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0,0502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7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0,031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59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0,02646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929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814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59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6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0,013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44</w:t>
            </w:r>
          </w:p>
        </w:tc>
      </w:tr>
    </w:tbl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  <w:lang w:val="en-US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lastRenderedPageBreak/>
        <w:t xml:space="preserve">1.9. На территории Мышкинского, Некоузского и Угличского муниципальных районов: </w:t>
      </w:r>
    </w:p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0,0480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0,0483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0,03041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0,02547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0,01856</w:t>
            </w:r>
          </w:p>
        </w:tc>
      </w:tr>
      <w:tr w:rsidR="00EB312B" w:rsidRPr="00CE437C" w:rsidTr="00562055">
        <w:tc>
          <w:tcPr>
            <w:tcW w:w="1386" w:type="pct"/>
          </w:tcPr>
          <w:p w:rsidR="00EB312B" w:rsidRPr="00CE437C" w:rsidRDefault="00EB312B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EB312B" w:rsidRPr="00CE437C" w:rsidRDefault="00EB312B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0,01746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0,01693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0,01427</w:t>
            </w:r>
          </w:p>
        </w:tc>
      </w:tr>
    </w:tbl>
    <w:p w:rsidR="00CE437C" w:rsidRPr="00CE437C" w:rsidRDefault="00CE437C" w:rsidP="00CE437C">
      <w:pPr>
        <w:ind w:firstLine="0"/>
        <w:contextualSpacing/>
        <w:jc w:val="both"/>
        <w:rPr>
          <w:rFonts w:cs="Times New Roman"/>
          <w:color w:val="000000" w:themeColor="text1"/>
          <w:szCs w:val="28"/>
          <w:lang w:val="en-US"/>
        </w:rPr>
      </w:pPr>
    </w:p>
    <w:p w:rsidR="00CE437C" w:rsidRPr="00CE437C" w:rsidRDefault="00CE437C" w:rsidP="0056205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1.10. На территории городского округа г. Ярославля, Некрасовского </w:t>
      </w:r>
      <w:r w:rsidR="00BA27F4">
        <w:rPr>
          <w:rFonts w:cs="Times New Roman"/>
          <w:color w:val="000000" w:themeColor="text1"/>
          <w:szCs w:val="28"/>
        </w:rPr>
        <w:br/>
      </w:r>
      <w:r w:rsidRPr="00CE437C">
        <w:rPr>
          <w:rFonts w:cs="Times New Roman"/>
          <w:color w:val="000000" w:themeColor="text1"/>
          <w:szCs w:val="28"/>
        </w:rPr>
        <w:t xml:space="preserve">и Ярославского муниципальных районов: </w:t>
      </w: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CE437C" w:rsidRPr="00CE437C" w:rsidTr="00562055">
        <w:trPr>
          <w:trHeight w:val="230"/>
        </w:trPr>
        <w:tc>
          <w:tcPr>
            <w:tcW w:w="1386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Категория многоквартирного (жилого) дома</w:t>
            </w:r>
          </w:p>
        </w:tc>
        <w:tc>
          <w:tcPr>
            <w:tcW w:w="3614" w:type="pct"/>
            <w:vMerge w:val="restar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CE437C" w:rsidRPr="00CE437C" w:rsidTr="00562055">
        <w:trPr>
          <w:trHeight w:val="230"/>
        </w:trPr>
        <w:tc>
          <w:tcPr>
            <w:tcW w:w="1386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pct"/>
            <w:vMerge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64D5" w:rsidRPr="00F464D5" w:rsidRDefault="00F464D5">
      <w:pPr>
        <w:rPr>
          <w:sz w:val="2"/>
          <w:szCs w:val="2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2594"/>
        <w:gridCol w:w="6763"/>
      </w:tblGrid>
      <w:tr w:rsidR="00F464D5" w:rsidRPr="00CE437C" w:rsidTr="00F464D5">
        <w:trPr>
          <w:tblHeader/>
        </w:trPr>
        <w:tc>
          <w:tcPr>
            <w:tcW w:w="1386" w:type="pct"/>
          </w:tcPr>
          <w:p w:rsidR="00F464D5" w:rsidRPr="00CE437C" w:rsidRDefault="00F464D5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F464D5" w:rsidRPr="00CE437C" w:rsidRDefault="00F464D5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0,0483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0,048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71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0,03062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 – 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0,02564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0,02525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0,02495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0,02598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0,02508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16 и более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0,02710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Этажность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 w:val="20"/>
                <w:szCs w:val="20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0,01869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0,01758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0,01705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0,01437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lastRenderedPageBreak/>
              <w:t>6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 xml:space="preserve">, 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0,01302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0,01323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0,01253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0,01294</w:t>
            </w:r>
          </w:p>
        </w:tc>
      </w:tr>
      <w:tr w:rsidR="00CE437C" w:rsidRPr="00CE437C" w:rsidTr="00562055">
        <w:tc>
          <w:tcPr>
            <w:tcW w:w="1386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12 и более</w:t>
            </w:r>
          </w:p>
        </w:tc>
        <w:tc>
          <w:tcPr>
            <w:tcW w:w="361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0,01321</w:t>
            </w:r>
          </w:p>
        </w:tc>
      </w:tr>
    </w:tbl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Cs w:val="28"/>
          <w:lang w:val="en-US"/>
        </w:rPr>
      </w:pP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 xml:space="preserve">2. </w:t>
      </w:r>
      <w:r w:rsidR="00922DC1" w:rsidRPr="00922DC1">
        <w:rPr>
          <w:rFonts w:cs="Times New Roman"/>
          <w:color w:val="000000" w:themeColor="text1"/>
          <w:szCs w:val="28"/>
        </w:rPr>
        <w:t>Нормативы потребления коммунальной услуги по отоплению при использовании надворных построек, расположенных на земельн</w:t>
      </w:r>
      <w:r w:rsidR="00922DC1">
        <w:rPr>
          <w:rFonts w:cs="Times New Roman"/>
          <w:color w:val="000000" w:themeColor="text1"/>
          <w:szCs w:val="28"/>
        </w:rPr>
        <w:t>ом</w:t>
      </w:r>
      <w:r w:rsidR="00922DC1" w:rsidRPr="00922DC1">
        <w:rPr>
          <w:rFonts w:cs="Times New Roman"/>
          <w:color w:val="000000" w:themeColor="text1"/>
          <w:szCs w:val="28"/>
        </w:rPr>
        <w:t xml:space="preserve"> участк</w:t>
      </w:r>
      <w:r w:rsidR="00922DC1">
        <w:rPr>
          <w:rFonts w:cs="Times New Roman"/>
          <w:color w:val="000000" w:themeColor="text1"/>
          <w:szCs w:val="28"/>
        </w:rPr>
        <w:t>е</w:t>
      </w:r>
    </w:p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Cs w:val="28"/>
        </w:rPr>
      </w:pPr>
    </w:p>
    <w:p w:rsidR="00CE437C" w:rsidRPr="00CE437C" w:rsidRDefault="00CE437C" w:rsidP="00CE437C">
      <w:pPr>
        <w:ind w:firstLine="0"/>
        <w:jc w:val="right"/>
        <w:rPr>
          <w:rFonts w:cs="Times New Roman"/>
          <w:color w:val="000000" w:themeColor="text1"/>
          <w:szCs w:val="28"/>
        </w:rPr>
      </w:pPr>
      <w:r w:rsidRPr="00CE437C">
        <w:rPr>
          <w:rFonts w:cs="Times New Roman"/>
          <w:color w:val="000000" w:themeColor="text1"/>
          <w:szCs w:val="28"/>
        </w:rPr>
        <w:t>(Гкал на кв. м в месяц отопительного периода)</w:t>
      </w: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595"/>
        <w:gridCol w:w="4226"/>
        <w:gridCol w:w="4536"/>
      </w:tblGrid>
      <w:tr w:rsidR="00CE437C" w:rsidRPr="00CE437C" w:rsidTr="004C2777">
        <w:trPr>
          <w:trHeight w:val="1932"/>
        </w:trPr>
        <w:tc>
          <w:tcPr>
            <w:tcW w:w="317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№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 xml:space="preserve"> </w:t>
            </w:r>
          </w:p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п/п</w:t>
            </w:r>
          </w:p>
        </w:tc>
        <w:tc>
          <w:tcPr>
            <w:tcW w:w="2258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 xml:space="preserve">Наименование муниципального 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br/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образования области</w:t>
            </w:r>
          </w:p>
        </w:tc>
        <w:tc>
          <w:tcPr>
            <w:tcW w:w="2424" w:type="pct"/>
          </w:tcPr>
          <w:p w:rsidR="00CE437C" w:rsidRPr="00CE437C" w:rsidRDefault="00922DC1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922DC1">
              <w:rPr>
                <w:rFonts w:cs="Times New Roman"/>
                <w:color w:val="000000" w:themeColor="text1"/>
                <w:szCs w:val="28"/>
              </w:rPr>
              <w:t>Нормативы потребления коммунальной услуги по отоплению при использовании надворных построек, расположенных на земельн</w:t>
            </w:r>
            <w:r>
              <w:rPr>
                <w:rFonts w:cs="Times New Roman"/>
                <w:color w:val="000000" w:themeColor="text1"/>
                <w:szCs w:val="28"/>
              </w:rPr>
              <w:t>ом</w:t>
            </w:r>
            <w:r w:rsidRPr="00922DC1">
              <w:rPr>
                <w:rFonts w:cs="Times New Roman"/>
                <w:color w:val="000000" w:themeColor="text1"/>
                <w:szCs w:val="28"/>
              </w:rPr>
              <w:t xml:space="preserve"> участк</w:t>
            </w:r>
            <w:r>
              <w:rPr>
                <w:rFonts w:cs="Times New Roman"/>
                <w:color w:val="000000" w:themeColor="text1"/>
                <w:szCs w:val="28"/>
              </w:rPr>
              <w:t>е</w:t>
            </w:r>
          </w:p>
        </w:tc>
      </w:tr>
    </w:tbl>
    <w:p w:rsidR="00CE437C" w:rsidRPr="00CE437C" w:rsidRDefault="00CE437C" w:rsidP="00CE437C">
      <w:pPr>
        <w:ind w:firstLine="0"/>
        <w:rPr>
          <w:color w:val="000000" w:themeColor="text1"/>
          <w:sz w:val="2"/>
          <w:szCs w:val="2"/>
        </w:rPr>
      </w:pPr>
    </w:p>
    <w:tbl>
      <w:tblPr>
        <w:tblStyle w:val="11"/>
        <w:tblW w:w="4888" w:type="pct"/>
        <w:tblInd w:w="108" w:type="dxa"/>
        <w:tblLook w:val="04A0" w:firstRow="1" w:lastRow="0" w:firstColumn="1" w:lastColumn="0" w:noHBand="0" w:noVBand="1"/>
      </w:tblPr>
      <w:tblGrid>
        <w:gridCol w:w="584"/>
        <w:gridCol w:w="4237"/>
        <w:gridCol w:w="4536"/>
      </w:tblGrid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 xml:space="preserve"> Брейтовский муниципальный район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0,01678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2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Даниловский</w:t>
            </w:r>
            <w:r w:rsidR="00BA27F4">
              <w:rPr>
                <w:rFonts w:eastAsiaTheme="minorHAnsi" w:cs="Times New Roman"/>
                <w:color w:val="000000" w:themeColor="text1"/>
                <w:szCs w:val="28"/>
              </w:rPr>
              <w:t>,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 xml:space="preserve"> Любимский, Первомайский муниципальные районы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0,01739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3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Городской округ г. Переславль-Залесский, Переславский муниципальный район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0,01642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4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Пошехонский муниципальный район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0,01761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5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Борисоглебский, Гаврилов-Ямский, Ростовский муниципальные районы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0,01656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6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Городской округ г. Рыбинск, Рыбинский муниципальный район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0,01658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7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Большесельский, Тутаевский муниципальные районы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0,01705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8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 xml:space="preserve">Мышкинский, Некоузский, Угличский муниципальные районы 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0,01635</w:t>
            </w:r>
          </w:p>
        </w:tc>
      </w:tr>
      <w:tr w:rsidR="00CE437C" w:rsidRPr="00CE437C" w:rsidTr="004C2777">
        <w:tc>
          <w:tcPr>
            <w:tcW w:w="312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  <w:lang w:val="en-US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9</w:t>
            </w:r>
            <w:r w:rsidRPr="00CE437C">
              <w:rPr>
                <w:rFonts w:eastAsiaTheme="minorHAnsi" w:cs="Times New Roman"/>
                <w:color w:val="000000" w:themeColor="text1"/>
                <w:szCs w:val="28"/>
                <w:lang w:val="en-US"/>
              </w:rPr>
              <w:t>.</w:t>
            </w:r>
          </w:p>
        </w:tc>
        <w:tc>
          <w:tcPr>
            <w:tcW w:w="2264" w:type="pct"/>
          </w:tcPr>
          <w:p w:rsidR="00CE437C" w:rsidRPr="00CE437C" w:rsidRDefault="00CE437C" w:rsidP="00CE437C">
            <w:pPr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 xml:space="preserve">Городской округ г. Ярославль, Некрасовский, Ярославский муниципальные районы </w:t>
            </w:r>
          </w:p>
        </w:tc>
        <w:tc>
          <w:tcPr>
            <w:tcW w:w="2424" w:type="pct"/>
          </w:tcPr>
          <w:p w:rsidR="00CE437C" w:rsidRPr="00CE437C" w:rsidRDefault="00CE437C" w:rsidP="00CE437C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8"/>
              </w:rPr>
            </w:pPr>
            <w:r w:rsidRPr="00CE437C">
              <w:rPr>
                <w:rFonts w:eastAsiaTheme="minorHAnsi" w:cs="Times New Roman"/>
                <w:color w:val="000000" w:themeColor="text1"/>
                <w:szCs w:val="28"/>
              </w:rPr>
              <w:t>0,01624</w:t>
            </w:r>
          </w:p>
        </w:tc>
      </w:tr>
    </w:tbl>
    <w:p w:rsidR="00CE437C" w:rsidRPr="00CE437C" w:rsidRDefault="00CE437C" w:rsidP="00CE437C">
      <w:pPr>
        <w:ind w:firstLine="0"/>
        <w:jc w:val="center"/>
        <w:rPr>
          <w:rFonts w:cs="Times New Roman"/>
          <w:color w:val="000000" w:themeColor="text1"/>
          <w:szCs w:val="28"/>
        </w:rPr>
      </w:pPr>
    </w:p>
    <w:p w:rsidR="005E5245" w:rsidRPr="004A4D11" w:rsidRDefault="005E5245" w:rsidP="004C2777">
      <w:pPr>
        <w:ind w:firstLine="0"/>
      </w:pPr>
    </w:p>
    <w:sectPr w:rsidR="005E5245" w:rsidRPr="004A4D11" w:rsidSect="005E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3B" w:rsidRDefault="00E1173B" w:rsidP="00E30EA9">
      <w:r>
        <w:separator/>
      </w:r>
    </w:p>
  </w:endnote>
  <w:endnote w:type="continuationSeparator" w:id="0">
    <w:p w:rsidR="00E1173B" w:rsidRDefault="00E1173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24" w:rsidRDefault="00D76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24" w:rsidRDefault="00D76F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24" w:rsidRDefault="00D76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3B" w:rsidRDefault="00E1173B" w:rsidP="00E30EA9">
      <w:r>
        <w:separator/>
      </w:r>
    </w:p>
  </w:footnote>
  <w:footnote w:type="continuationSeparator" w:id="0">
    <w:p w:rsidR="00E1173B" w:rsidRDefault="00E1173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24" w:rsidRDefault="00D76F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D76F24" w:rsidRDefault="00D76F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3A9">
          <w:rPr>
            <w:noProof/>
          </w:rPr>
          <w:t>6</w:t>
        </w:r>
        <w:r>
          <w:fldChar w:fldCharType="end"/>
        </w:r>
      </w:p>
    </w:sdtContent>
  </w:sdt>
  <w:p w:rsidR="00D76F24" w:rsidRPr="00532191" w:rsidRDefault="00D76F24" w:rsidP="00D76F24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24" w:rsidRDefault="00D76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A030F"/>
    <w:rsid w:val="000D5EB7"/>
    <w:rsid w:val="0017026F"/>
    <w:rsid w:val="00176F62"/>
    <w:rsid w:val="001C78DA"/>
    <w:rsid w:val="002306C4"/>
    <w:rsid w:val="00300C01"/>
    <w:rsid w:val="0038047A"/>
    <w:rsid w:val="00395E5D"/>
    <w:rsid w:val="003A2DCC"/>
    <w:rsid w:val="003A7D0D"/>
    <w:rsid w:val="003C11CF"/>
    <w:rsid w:val="003D1E8D"/>
    <w:rsid w:val="0040656C"/>
    <w:rsid w:val="00413B80"/>
    <w:rsid w:val="0047707E"/>
    <w:rsid w:val="00491286"/>
    <w:rsid w:val="004A4D11"/>
    <w:rsid w:val="004C077F"/>
    <w:rsid w:val="004C2777"/>
    <w:rsid w:val="00531285"/>
    <w:rsid w:val="00544401"/>
    <w:rsid w:val="00562055"/>
    <w:rsid w:val="005E5245"/>
    <w:rsid w:val="005E6934"/>
    <w:rsid w:val="006113B2"/>
    <w:rsid w:val="006771A3"/>
    <w:rsid w:val="006A0588"/>
    <w:rsid w:val="006E292A"/>
    <w:rsid w:val="007A7172"/>
    <w:rsid w:val="007A7190"/>
    <w:rsid w:val="007B4159"/>
    <w:rsid w:val="007C2411"/>
    <w:rsid w:val="008520F3"/>
    <w:rsid w:val="00922DC1"/>
    <w:rsid w:val="00A417AD"/>
    <w:rsid w:val="00A51AAA"/>
    <w:rsid w:val="00A52F73"/>
    <w:rsid w:val="00A64C68"/>
    <w:rsid w:val="00AA1FB1"/>
    <w:rsid w:val="00AE3646"/>
    <w:rsid w:val="00B12A59"/>
    <w:rsid w:val="00B975A6"/>
    <w:rsid w:val="00BA27F4"/>
    <w:rsid w:val="00BB1812"/>
    <w:rsid w:val="00C87F44"/>
    <w:rsid w:val="00C909D4"/>
    <w:rsid w:val="00CE437C"/>
    <w:rsid w:val="00D00EFB"/>
    <w:rsid w:val="00D05BED"/>
    <w:rsid w:val="00D05F69"/>
    <w:rsid w:val="00D313A9"/>
    <w:rsid w:val="00D72C55"/>
    <w:rsid w:val="00D76F24"/>
    <w:rsid w:val="00DE71B2"/>
    <w:rsid w:val="00E00F2C"/>
    <w:rsid w:val="00E013E1"/>
    <w:rsid w:val="00E01F2F"/>
    <w:rsid w:val="00E1173B"/>
    <w:rsid w:val="00E1407E"/>
    <w:rsid w:val="00E30EA9"/>
    <w:rsid w:val="00E964FA"/>
    <w:rsid w:val="00EA66D7"/>
    <w:rsid w:val="00EB312B"/>
    <w:rsid w:val="00F464D5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CE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E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825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758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582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5825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58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5825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CE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E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825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758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582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5825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58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5825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389DDFF5-A641-4C85-9DC9-75B12D2D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Багно Андрей Михайлович</cp:lastModifiedBy>
  <cp:revision>2</cp:revision>
  <dcterms:created xsi:type="dcterms:W3CDTF">2016-10-31T08:34:00Z</dcterms:created>
  <dcterms:modified xsi:type="dcterms:W3CDTF">2016-10-31T08:34:00Z</dcterms:modified>
</cp:coreProperties>
</file>